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86MS0079-01-2024-003706-15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05-0594/2615/2024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Мамаджонова Шохина Баходировича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Мамаджонова Шохина Баходировича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13.03.2024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06 час. 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</w:rPr>
        <w:t>183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</w:t>
      </w:r>
      <w:r>
        <w:rPr>
          <w:rFonts w:ascii="Times New Roman" w:eastAsia="Times New Roman" w:hAnsi="Times New Roman" w:cs="Times New Roman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sz w:val="26"/>
          <w:szCs w:val="26"/>
        </w:rPr>
        <w:t>томобильной дороги «Тюмень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-Ханты-Мансийск» </w:t>
      </w:r>
      <w:r>
        <w:rPr>
          <w:rFonts w:ascii="Times New Roman" w:eastAsia="Times New Roman" w:hAnsi="Times New Roman" w:cs="Times New Roman"/>
          <w:sz w:val="26"/>
          <w:szCs w:val="26"/>
        </w:rPr>
        <w:t>в Тюменской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– автомобилем марки </w:t>
      </w:r>
      <w:r>
        <w:rPr>
          <w:rStyle w:val="cat-UserDefinedgrp-3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движущегося транспортного средства, выехал на полосу дороги,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предназначенной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дорожного знака 3.20 «Обгон запрещен»,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п. 1.3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повторно совершив административное правонарушение, предусмотренное ч. 4 ст.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Мамаджонов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пояснил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</w:t>
      </w:r>
      <w:r>
        <w:rPr>
          <w:rFonts w:ascii="Times New Roman" w:eastAsia="Times New Roman" w:hAnsi="Times New Roman" w:cs="Times New Roman"/>
          <w:sz w:val="26"/>
          <w:szCs w:val="26"/>
        </w:rPr>
        <w:t>полос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встречного движения, на которую он выехал при совершении обгона, не была отделена сплошной линией горизонтальной разметки, а дорожный знак 3.20 «Обгон зап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рещен» он не увидел,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просил переквалифицировать правонарушение с ч. 5 на ч. 4 ст.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тем, что правонарушение совершено 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впервые,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ран</w:t>
      </w:r>
      <w:r>
        <w:rPr>
          <w:rFonts w:ascii="Times New Roman" w:eastAsia="Times New Roman" w:hAnsi="Times New Roman" w:cs="Times New Roman"/>
          <w:sz w:val="26"/>
          <w:szCs w:val="26"/>
        </w:rPr>
        <w:t>ее правон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арушение, предусмотренное ч.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зафиксированное работающим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авт</w:t>
      </w:r>
      <w:r>
        <w:rPr>
          <w:rFonts w:ascii="Times New Roman" w:eastAsia="Times New Roman" w:hAnsi="Times New Roman" w:cs="Times New Roman"/>
          <w:sz w:val="26"/>
          <w:szCs w:val="26"/>
        </w:rPr>
        <w:t>оматическом режиме специальным техническим средством, имеющим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функции фото- и киносъемки, видеозаписи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он не совершал, так как в момент его фиксации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 управлял</w:t>
      </w:r>
      <w:r>
        <w:rPr>
          <w:rFonts w:ascii="Times New Roman" w:eastAsia="Times New Roman" w:hAnsi="Times New Roman" w:cs="Times New Roman"/>
          <w:sz w:val="26"/>
          <w:szCs w:val="26"/>
        </w:rPr>
        <w:t>о иное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Мамаджонова Ш.Б.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прихожу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следующим выводам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4 ст.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ч. 5 ст. 12.15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ных правонарушениях повторное совершение административного правонарушения, предусмотренного частью 4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абз.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Мамаджонова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правонарушениях, представлены следующие материалы: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72 ВВ № 219583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13.03.2024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13.03.2024 в 06 час. 22 мин. на 183 км автомобильной дороги «Тюмень-Ханты-Мансийск» в Тюменской области Мамаджонов Ш.Б., управляя транспортным средством – автомобилем марки </w:t>
      </w:r>
      <w:r>
        <w:rPr>
          <w:rStyle w:val="cat-UserDefinedgrp-31rplc-3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9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совершении обгона впереди </w:t>
      </w:r>
      <w:r>
        <w:rPr>
          <w:rFonts w:ascii="Times New Roman" w:eastAsia="Times New Roman" w:hAnsi="Times New Roman" w:cs="Times New Roman"/>
          <w:sz w:val="26"/>
          <w:szCs w:val="26"/>
        </w:rPr>
        <w:t>движущегося транспортного средства, выехал на полосу дороги, предназначенной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 1.3 Правил дорожного движения Российской Федерации, повторно совершив административное правонарушение, предусмотренное ч. 4 ст. 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схема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13.03.2024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расположением транспортных средств на автомобильной дороге,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183 км </w:t>
      </w:r>
      <w:r>
        <w:rPr>
          <w:rFonts w:ascii="Times New Roman" w:eastAsia="Times New Roman" w:hAnsi="Times New Roman" w:cs="Times New Roman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sz w:val="26"/>
          <w:szCs w:val="26"/>
        </w:rPr>
        <w:t>томобильной дороги «Тюмень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-Ханты-Мансийск» </w:t>
      </w:r>
      <w:r>
        <w:rPr>
          <w:rFonts w:ascii="Times New Roman" w:eastAsia="Times New Roman" w:hAnsi="Times New Roman" w:cs="Times New Roman"/>
          <w:sz w:val="26"/>
          <w:szCs w:val="26"/>
        </w:rPr>
        <w:t>в Тюменской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– автомобилем марки </w:t>
      </w:r>
      <w:r>
        <w:rPr>
          <w:rStyle w:val="cat-UserDefinedgrp-31rplc-4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9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движущегося транспортного средства, выехал на полосу дороги,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предназначенной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запрещен», чем нарушил п. 1.3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 схемой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чём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его с</w:t>
      </w:r>
      <w:r>
        <w:rPr>
          <w:rFonts w:ascii="Times New Roman" w:eastAsia="Times New Roman" w:hAnsi="Times New Roman" w:cs="Times New Roman"/>
          <w:sz w:val="26"/>
          <w:szCs w:val="26"/>
        </w:rPr>
        <w:t>обственноручная подпись в графе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«Со схемой согласен»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водительского удостоверения № </w:t>
      </w:r>
      <w:r>
        <w:rPr>
          <w:rFonts w:ascii="Times New Roman" w:eastAsia="Times New Roman" w:hAnsi="Times New Roman" w:cs="Times New Roman"/>
          <w:sz w:val="26"/>
          <w:szCs w:val="26"/>
        </w:rPr>
        <w:t>9913 499364 со сроком действия до 11.02.2030</w:t>
      </w:r>
      <w:r>
        <w:rPr>
          <w:rFonts w:ascii="Times New Roman" w:eastAsia="Times New Roman" w:hAnsi="Times New Roman" w:cs="Times New Roman"/>
          <w:sz w:val="26"/>
          <w:szCs w:val="26"/>
        </w:rPr>
        <w:t>, принадлежаще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Мамаджонову Ш.Б.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 свидетельства о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 - автомобиля </w:t>
      </w:r>
      <w:r>
        <w:rPr>
          <w:rStyle w:val="cat-UserDefinedgrp-31rplc-5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9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собственником которого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Ситдикова Д.Р.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13.03.2024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административного правонарушения;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видеофиксация события административного правонарушения на CD-диске, согласно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13.03.2024 в 06 час. 22 мин. на 183 км автомобильной дороги «Тюмень-Ханты-Мансийск» в Тюменской области Мамаджонов Ш.Б., управляя транспортным средством – автомобилем марки </w:t>
      </w:r>
      <w:r>
        <w:rPr>
          <w:rStyle w:val="cat-UserDefinedgrp-31rplc-6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9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при совершении обгона впереди движущегося транспортного средства, выехал на полосу дороги, предназначенной для встречного движения, 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>ого знака 3.20 «Обгон запрещен»;</w:t>
      </w:r>
    </w:p>
    <w:p>
      <w:pPr>
        <w:widowControl w:val="0"/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</w:t>
      </w:r>
      <w:r>
        <w:rPr>
          <w:rFonts w:ascii="Times New Roman" w:eastAsia="Times New Roman" w:hAnsi="Times New Roman" w:cs="Times New Roman"/>
          <w:sz w:val="26"/>
          <w:szCs w:val="26"/>
        </w:rPr>
        <w:t>пост</w:t>
      </w:r>
      <w:r>
        <w:rPr>
          <w:rFonts w:ascii="Times New Roman" w:eastAsia="Times New Roman" w:hAnsi="Times New Roman" w:cs="Times New Roman"/>
          <w:sz w:val="26"/>
          <w:szCs w:val="26"/>
        </w:rPr>
        <w:t>ановления от 04.05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18810586230504000167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мотренном ч. 4 ст.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Мамаджонова Ш.Б.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 последний подвергнут административному наказанию в виде административного штрафа в размере 5 000 рублей, постановл</w:t>
      </w:r>
      <w:r>
        <w:rPr>
          <w:rFonts w:ascii="Times New Roman" w:eastAsia="Times New Roman" w:hAnsi="Times New Roman" w:cs="Times New Roman"/>
          <w:sz w:val="26"/>
          <w:szCs w:val="26"/>
        </w:rPr>
        <w:t>ение вступило в законную силу 16.05</w:t>
      </w:r>
      <w:r>
        <w:rPr>
          <w:rFonts w:ascii="Times New Roman" w:eastAsia="Times New Roman" w:hAnsi="Times New Roman" w:cs="Times New Roman"/>
          <w:sz w:val="26"/>
          <w:szCs w:val="26"/>
        </w:rPr>
        <w:t>.2023;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схемы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1-15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организации дорожного движения и ограждения мест производства дорожных работ с дислокацией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дорожных знаков и </w:t>
      </w:r>
      <w:r>
        <w:rPr>
          <w:rFonts w:ascii="Times New Roman" w:eastAsia="Times New Roman" w:hAnsi="Times New Roman" w:cs="Times New Roman"/>
          <w:sz w:val="26"/>
          <w:szCs w:val="26"/>
        </w:rPr>
        <w:t>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(179 – 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км) автомобильной дороги Р404 «Тюмень-Тобо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льск-Ханты-Мансийск»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 указанием сроков производства работ с 10.06.2022 по 15.11.2024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общая схема организации дорожного движения на производство долговременных работ </w:t>
      </w:r>
      <w:r>
        <w:rPr>
          <w:rFonts w:ascii="Times New Roman" w:eastAsia="Times New Roman" w:hAnsi="Times New Roman" w:cs="Times New Roman"/>
          <w:sz w:val="26"/>
          <w:szCs w:val="26"/>
        </w:rPr>
        <w:t>с дислокацией дорожных зна</w:t>
      </w:r>
      <w:r>
        <w:rPr>
          <w:rFonts w:ascii="Times New Roman" w:eastAsia="Times New Roman" w:hAnsi="Times New Roman" w:cs="Times New Roman"/>
          <w:sz w:val="26"/>
          <w:szCs w:val="26"/>
        </w:rPr>
        <w:t>ков и разметки на участке (179-</w:t>
      </w:r>
      <w:r>
        <w:rPr>
          <w:rFonts w:ascii="Times New Roman" w:eastAsia="Times New Roman" w:hAnsi="Times New Roman" w:cs="Times New Roman"/>
          <w:sz w:val="26"/>
          <w:szCs w:val="26"/>
        </w:rPr>
        <w:t>200 км) автомобильной дороги Р404 «Тюмень-Тобольск-Ханты-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Мансийск» </w:t>
      </w:r>
      <w:r>
        <w:rPr>
          <w:rFonts w:ascii="Times New Roman" w:eastAsia="Times New Roman" w:hAnsi="Times New Roman" w:cs="Times New Roman"/>
          <w:sz w:val="26"/>
          <w:szCs w:val="26"/>
        </w:rPr>
        <w:t>с указанием сроков производства работ с 10.06.2022 по 15.11.2024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Мамаджонова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РФ;</w:t>
      </w:r>
    </w:p>
    <w:p>
      <w:pPr>
        <w:widowControl w:val="0"/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Мамаджонова Ш.Б.</w:t>
      </w:r>
    </w:p>
    <w:p>
      <w:pPr>
        <w:widowControl w:val="0"/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мировой судья признает их достоверными, поскольку они нашли свое объективное подтверждение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ходе судебного разбирательства, получены с соблюдением требований Кодекса Российской Федерации об административных правонарушениях. </w:t>
      </w:r>
    </w:p>
    <w:p>
      <w:pPr>
        <w:widowControl w:val="0"/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Мамаджонова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5 ст. 12.15 Кодекса Российской Федерации об административных правонарушениях.</w:t>
      </w:r>
    </w:p>
    <w:p>
      <w:pPr>
        <w:widowControl w:val="0"/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не установлено обстоятельств, указывающих на возможность оговора кем-либо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Мамаджонова Ш.Б.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обстоятельств, указывающих на чью-либо заинтересованность в его привлечении к административной ответственности.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Мамаджонова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5 ст. 12.15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Кодекса Российской Федерации об административных правонарушениях.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Вопреки доводам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Мамаджонова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6"/>
          <w:szCs w:val="26"/>
        </w:rPr>
        <w:t>переквалифициро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вать правонарушение с ч. 5 на ч. 4 ст.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тем, что правонарушение совершено им впервые, поскольку ранее правонарушение, пре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дусмотренное ч. 4 ст.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зафиксированное работающим в автоматическом режиме специальным техническим средством, имеющим функции фото- и киносъемки, видеозаписи, он не совершал, так как в момент его фиксации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 управлял</w:t>
      </w:r>
      <w:r>
        <w:rPr>
          <w:rFonts w:ascii="Times New Roman" w:eastAsia="Times New Roman" w:hAnsi="Times New Roman" w:cs="Times New Roman"/>
          <w:sz w:val="26"/>
          <w:szCs w:val="26"/>
        </w:rPr>
        <w:t>о иное лицо</w:t>
      </w:r>
      <w:r>
        <w:rPr>
          <w:rFonts w:ascii="Times New Roman" w:eastAsia="Times New Roman" w:hAnsi="Times New Roman" w:cs="Times New Roman"/>
          <w:sz w:val="26"/>
          <w:szCs w:val="26"/>
        </w:rPr>
        <w:t>, оснований для такой переквалификации не имеется.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Так, в силу п. 20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Пленума Верховного Суда РФ от 24.0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3.2005 N 5 </w:t>
      </w:r>
      <w:r>
        <w:rPr>
          <w:rFonts w:ascii="Times New Roman" w:eastAsia="Times New Roman" w:hAnsi="Times New Roman" w:cs="Times New Roman"/>
          <w:sz w:val="26"/>
          <w:szCs w:val="26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eastAsia="Times New Roman" w:hAnsi="Times New Roman" w:cs="Times New Roman"/>
          <w:sz w:val="26"/>
          <w:szCs w:val="26"/>
        </w:rPr>
        <w:t>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04.05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№ 18810586230504000167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ч. 4 ст.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 административному наказанию в виде административного штрафа в размере 5 000 рублей, постановление вступ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16.05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несогласия с данным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 лишен возможности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>обжа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лования, однако в деле такие сведения отсутствуют, в том числе об отмене постановления, в связи с чем не имеется законных оснований к переквалификации правонарушения по настоящему делу на </w:t>
      </w:r>
      <w:r>
        <w:rPr>
          <w:rFonts w:ascii="Times New Roman" w:eastAsia="Times New Roman" w:hAnsi="Times New Roman" w:cs="Times New Roman"/>
          <w:sz w:val="26"/>
          <w:szCs w:val="26"/>
        </w:rPr>
        <w:t>ч. 4 ст. 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суд не может входить в обсуждение вопросов о виновности иного лица по рассматриваемому делу.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Мамаджонова Ш.Б.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том, </w:t>
      </w:r>
      <w:r>
        <w:rPr>
          <w:rFonts w:ascii="Times New Roman" w:eastAsia="Times New Roman" w:hAnsi="Times New Roman" w:cs="Times New Roman"/>
          <w:sz w:val="26"/>
          <w:szCs w:val="26"/>
        </w:rPr>
        <w:t>что полоса дороги встречного движения, на которую он выехал при совершении обгона, не была отделена сплошной линией горизонтальной разметки, а дорожный знак 3.20 «Обгон запрещен» он не увидел,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заслуживает внимания, поскольку д</w:t>
      </w:r>
      <w:r>
        <w:rPr>
          <w:rFonts w:ascii="Times New Roman" w:eastAsia="Times New Roman" w:hAnsi="Times New Roman" w:cs="Times New Roman"/>
          <w:sz w:val="26"/>
          <w:szCs w:val="26"/>
        </w:rPr>
        <w:t>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этом невнимательность на 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может являться основанием для освобождения от административной ответственности, так как транспортное средство является источником повышенной опасности и при управлении 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необходимо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руководствоваться ПДД РФ.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Дело рассмотрено в установленный Кодексом Российской Федерации об административных правонарушениях срок с учётом положений ч. 5 ст. 4.5 Кодекса Российской Федерации об административных правонарушениях.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Мамаджонова Ш.Б.</w:t>
      </w:r>
      <w:r>
        <w:rPr>
          <w:rFonts w:ascii="Times New Roman" w:eastAsia="Times New Roman" w:hAnsi="Times New Roman" w:cs="Times New Roman"/>
          <w:sz w:val="26"/>
          <w:szCs w:val="26"/>
        </w:rPr>
        <w:t>, отсутствие обстоятельств, смягчающих и отягчающих административную ответственность, обстоятельства совершения административного правонарушения, то,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правонарушение не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Мамаджонову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 ст. 29.9 - 29.11 КоАП РФ, </w:t>
      </w:r>
    </w:p>
    <w:p>
      <w:pPr>
        <w:widowControl w:val="0"/>
        <w:spacing w:before="0" w:after="0" w:line="100" w:lineRule="atLeast"/>
        <w:jc w:val="both"/>
      </w:pP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6420"/>
        </w:tabs>
        <w:spacing w:before="0" w:after="0" w:line="26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Мамаджонова Шохина Баходировича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УМВД России по г. Сургуту.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статьи 32.7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40rplc-9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41rplc-94"/>
          <w:rFonts w:ascii="Times New Roman" w:eastAsia="Times New Roman" w:hAnsi="Times New Roman" w:cs="Times New Roman"/>
        </w:rPr>
        <w:t>...</w:t>
      </w: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8906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UserDefinedgrp-31rplc-53">
    <w:name w:val="cat-UserDefined grp-31 rplc-53"/>
    <w:basedOn w:val="DefaultParagraphFont"/>
  </w:style>
  <w:style w:type="character" w:customStyle="1" w:styleId="cat-UserDefinedgrp-39rplc-55">
    <w:name w:val="cat-UserDefined grp-39 rplc-55"/>
    <w:basedOn w:val="DefaultParagraphFont"/>
  </w:style>
  <w:style w:type="character" w:customStyle="1" w:styleId="cat-UserDefinedgrp-31rplc-63">
    <w:name w:val="cat-UserDefined grp-31 rplc-63"/>
    <w:basedOn w:val="DefaultParagraphFont"/>
  </w:style>
  <w:style w:type="character" w:customStyle="1" w:styleId="cat-UserDefinedgrp-39rplc-65">
    <w:name w:val="cat-UserDefined grp-39 rplc-65"/>
    <w:basedOn w:val="DefaultParagraphFont"/>
  </w:style>
  <w:style w:type="character" w:customStyle="1" w:styleId="cat-UserDefinedgrp-40rplc-92">
    <w:name w:val="cat-UserDefined grp-40 rplc-92"/>
    <w:basedOn w:val="DefaultParagraphFont"/>
  </w:style>
  <w:style w:type="character" w:customStyle="1" w:styleId="cat-UserDefinedgrp-41rplc-94">
    <w:name w:val="cat-UserDefined grp-41 rplc-9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12D63-F583-4FAF-B3B6-74674F3209E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